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8-K</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Date of Report (Date of earliest event reported): April 29 2026</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2"/>
        </w:rPr>
      </w:pPr>
      <w:r>
        <w:rPr>
          <w:rFonts w:ascii="Times New Roman;serif" w:hAnsi="Times New Roman;serif"/>
          <w:b/>
          <w:color w:val="000000"/>
          <w:sz w:val="42"/>
        </w:rPr>
        <w:t>PULMONX CORPORATION</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5700" w:type="dxa"/>
        <w:jc w:val="center"/>
        <w:tblInd w:w="0" w:type="dxa"/>
        <w:tblLayout w:type="fixed"/>
        <w:tblCellMar>
          <w:top w:w="28" w:type="dxa"/>
          <w:left w:w="28" w:type="dxa"/>
          <w:bottom w:w="28" w:type="dxa"/>
          <w:right w:w="28" w:type="dxa"/>
        </w:tblCellMar>
      </w:tblPr>
      <w:tblGrid>
        <w:gridCol w:w="571"/>
        <w:gridCol w:w="502"/>
        <w:gridCol w:w="502"/>
        <w:gridCol w:w="377"/>
        <w:gridCol w:w="377"/>
        <w:gridCol w:w="386"/>
        <w:gridCol w:w="559"/>
        <w:gridCol w:w="559"/>
        <w:gridCol w:w="562"/>
        <w:gridCol w:w="382"/>
        <w:gridCol w:w="382"/>
        <w:gridCol w:w="541"/>
      </w:tblGrid>
      <w:tr>
        <w:trPr/>
        <w:tc>
          <w:tcPr>
            <w:tcW w:w="57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271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Delaware</w:t>
            </w:r>
          </w:p>
        </w:tc>
        <w:tc>
          <w:tcPr>
            <w:tcW w:w="16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001-39562</w:t>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77-0424412</w:t>
            </w:r>
          </w:p>
        </w:tc>
      </w:tr>
      <w:tr>
        <w:trPr/>
        <w:tc>
          <w:tcPr>
            <w:tcW w:w="271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(State or Other Jurisdiction</w:t>
            </w:r>
          </w:p>
        </w:tc>
        <w:tc>
          <w:tcPr>
            <w:tcW w:w="16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(Commission File Number)</w:t>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(IRS Employer</w:t>
            </w:r>
          </w:p>
        </w:tc>
      </w:tr>
      <w:tr>
        <w:trPr/>
        <w:tc>
          <w:tcPr>
            <w:tcW w:w="271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of Incorporation)</w:t>
            </w:r>
          </w:p>
        </w:tc>
        <w:tc>
          <w:tcPr>
            <w:tcW w:w="168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Identification No.)</w:t>
            </w:r>
          </w:p>
        </w:tc>
      </w:tr>
      <w:tr>
        <w:trPr/>
        <w:tc>
          <w:tcPr>
            <w:tcW w:w="271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700 Chesapeake Drive</w:t>
            </w:r>
          </w:p>
        </w:tc>
        <w:tc>
          <w:tcPr>
            <w:tcW w:w="1680" w:type="dxa"/>
            <w:gridSpan w:val="3"/>
            <w:vMerge w:val="continue"/>
            <w:tcBorders/>
            <w:tcMar>
              <w:top w:w="0" w:type="dxa"/>
              <w:left w:w="0" w:type="dxa"/>
              <w:bottom w:w="0" w:type="dxa"/>
              <w:right w:w="0" w:type="dxa"/>
            </w:tcMar>
            <w:vAlign w:val="center"/>
          </w:tcPr>
          <w:p>
            <w:pPr>
              <w:pStyle w:val="Normal"/>
              <w:bidi w:val="0"/>
              <w:jc w:val="left"/>
              <w:rPr/>
            </w:pPr>
            <w:r>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2"/>
              </w:rPr>
            </w:pPr>
            <w:r>
              <w:rPr>
                <w:rFonts w:ascii="Times New Roman;serif" w:hAnsi="Times New Roman;serif"/>
                <w:b/>
                <w:color w:val="000000"/>
                <w:sz w:val="22"/>
              </w:rPr>
              <w:t>Redwood City,</w:t>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CA</w:t>
            </w:r>
          </w:p>
        </w:tc>
        <w:tc>
          <w:tcPr>
            <w:tcW w:w="1680" w:type="dxa"/>
            <w:gridSpan w:val="3"/>
            <w:vMerge w:val="continue"/>
            <w:tcBorders/>
            <w:tcMar>
              <w:top w:w="0" w:type="dxa"/>
              <w:left w:w="0" w:type="dxa"/>
              <w:bottom w:w="0" w:type="dxa"/>
              <w:right w:w="0" w:type="dxa"/>
            </w:tcMar>
            <w:vAlign w:val="center"/>
          </w:tcPr>
          <w:p>
            <w:pPr>
              <w:pStyle w:val="Normal"/>
              <w:bidi w:val="0"/>
              <w:jc w:val="left"/>
              <w:rPr/>
            </w:pPr>
            <w:r>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94063</w:t>
            </w:r>
          </w:p>
        </w:tc>
      </w:tr>
      <w:tr>
        <w:trPr/>
        <w:tc>
          <w:tcPr>
            <w:tcW w:w="271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(Address of Principal Executive Offices)</w:t>
            </w:r>
          </w:p>
        </w:tc>
        <w:tc>
          <w:tcPr>
            <w:tcW w:w="1680" w:type="dxa"/>
            <w:gridSpan w:val="3"/>
            <w:vMerge w:val="continue"/>
            <w:tcBorders/>
            <w:tcMar>
              <w:top w:w="0" w:type="dxa"/>
              <w:left w:w="0" w:type="dxa"/>
              <w:bottom w:w="0" w:type="dxa"/>
              <w:right w:w="0" w:type="dxa"/>
            </w:tcMar>
            <w:vAlign w:val="center"/>
          </w:tcPr>
          <w:p>
            <w:pPr>
              <w:pStyle w:val="Normal"/>
              <w:bidi w:val="0"/>
              <w:jc w:val="left"/>
              <w:rPr/>
            </w:pPr>
            <w:r>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(Zip Code)</w:t>
            </w:r>
          </w:p>
        </w:tc>
      </w:tr>
    </w:tbl>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(650)364-0400</w:t>
      </w:r>
    </w:p>
    <w:p>
      <w:pPr>
        <w:pStyle w:val="TextBody"/>
        <w:bidi w:val="0"/>
        <w:spacing w:lineRule="auto" w:line="264"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2"/>
        </w:rPr>
        <w:t>Not Applicable</w:t>
      </w:r>
      <w:r>
        <w:rPr>
          <w:color w:val="000000"/>
        </w:rPr>
        <w:t xml:space="preserve"> </w:t>
      </w:r>
    </w:p>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(Former name or former address, if changed since last report.)</w:t>
      </w:r>
    </w:p>
    <w:p>
      <w:pPr>
        <w:pStyle w:val="TextBody"/>
        <w:bidi w:val="0"/>
        <w:spacing w:before="0" w:after="0"/>
        <w:jc w:val="center"/>
        <w:rPr/>
      </w:pPr>
      <w:r>
        <w:rPr/>
      </w:r>
    </w:p>
    <w:p>
      <w:pPr>
        <w:pStyle w:val="TextBody"/>
        <w:bidi w:val="0"/>
        <w:spacing w:lineRule="auto" w:line="302" w:before="0" w:after="0"/>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color w:val="000000"/>
          <w:sz w:val="20"/>
          <w:u w:val="single"/>
        </w:rPr>
        <w:t>see</w:t>
      </w:r>
      <w:r>
        <w:rPr>
          <w:color w:val="000000"/>
        </w:rPr>
        <w:t xml:space="preserve"> </w:t>
      </w:r>
      <w:r>
        <w:rPr>
          <w:rFonts w:ascii="Times New Roman;serif" w:hAnsi="Times New Roman;serif"/>
          <w:b w:val="false"/>
          <w:color w:val="000000"/>
          <w:sz w:val="20"/>
        </w:rPr>
        <w:t>General Instructions A.2. below):</w:t>
      </w:r>
    </w:p>
    <w:p>
      <w:pPr>
        <w:pStyle w:val="TextBody"/>
        <w:bidi w:val="0"/>
        <w:spacing w:before="0" w:after="0"/>
        <w:jc w:val="left"/>
        <w:rPr/>
      </w:pPr>
      <w:r>
        <w:rPr/>
      </w:r>
    </w:p>
    <w:p>
      <w:pPr>
        <w:pStyle w:val="TextBody"/>
        <w:bidi w:val="0"/>
        <w:spacing w:lineRule="auto" w:line="288" w:before="0" w:after="0"/>
        <w:ind w:left="0" w:right="0" w:hanging="12"/>
        <w:jc w:val="left"/>
        <w:rPr>
          <w:color w:val="000000"/>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0"/>
        <w:jc w:val="left"/>
        <w:rPr/>
      </w:pPr>
      <w:r>
        <w:rPr/>
      </w:r>
    </w:p>
    <w:p>
      <w:pPr>
        <w:pStyle w:val="TextBody"/>
        <w:bidi w:val="0"/>
        <w:spacing w:lineRule="auto" w:line="288" w:before="0" w:after="0"/>
        <w:ind w:left="0" w:right="0" w:hanging="12"/>
        <w:jc w:val="left"/>
        <w:rPr>
          <w:color w:val="000000"/>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before="0" w:after="0"/>
        <w:jc w:val="left"/>
        <w:rPr/>
      </w:pPr>
      <w:r>
        <w:rPr/>
      </w:r>
    </w:p>
    <w:p>
      <w:pPr>
        <w:pStyle w:val="TextBody"/>
        <w:bidi w:val="0"/>
        <w:spacing w:lineRule="auto" w:line="288" w:before="0" w:after="0"/>
        <w:ind w:left="0" w:right="0" w:hanging="12"/>
        <w:jc w:val="left"/>
        <w:rPr>
          <w:color w:val="000000"/>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288" w:before="0" w:after="0"/>
        <w:ind w:left="0" w:right="0" w:hanging="12"/>
        <w:jc w:val="left"/>
        <w:rPr>
          <w:color w:val="000000"/>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Securities registered pursuant to Section 12(b) of the Act:</w:t>
      </w:r>
    </w:p>
    <w:tbl>
      <w:tblPr>
        <w:tblW w:w="9097" w:type="dxa"/>
        <w:jc w:val="left"/>
        <w:tblInd w:w="0" w:type="dxa"/>
        <w:tblLayout w:type="fixed"/>
        <w:tblCellMar>
          <w:top w:w="28" w:type="dxa"/>
          <w:left w:w="28" w:type="dxa"/>
          <w:bottom w:w="28" w:type="dxa"/>
          <w:right w:w="28" w:type="dxa"/>
        </w:tblCellMar>
      </w:tblPr>
      <w:tblGrid>
        <w:gridCol w:w="1057"/>
        <w:gridCol w:w="928"/>
        <w:gridCol w:w="939"/>
        <w:gridCol w:w="109"/>
        <w:gridCol w:w="109"/>
        <w:gridCol w:w="109"/>
        <w:gridCol w:w="564"/>
        <w:gridCol w:w="564"/>
        <w:gridCol w:w="566"/>
        <w:gridCol w:w="109"/>
        <w:gridCol w:w="109"/>
        <w:gridCol w:w="109"/>
        <w:gridCol w:w="1118"/>
        <w:gridCol w:w="1118"/>
        <w:gridCol w:w="1589"/>
      </w:tblGrid>
      <w:tr>
        <w:trPr/>
        <w:tc>
          <w:tcPr>
            <w:tcW w:w="1057"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Common Stock,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LUNG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before="0" w:after="0"/>
        <w:jc w:val="left"/>
        <w:rPr/>
      </w:pPr>
      <w:r>
        <w:rPr/>
      </w:r>
    </w:p>
    <w:p>
      <w:pPr>
        <w:pStyle w:val="TextBody"/>
        <w:bidi w:val="0"/>
        <w:spacing w:lineRule="auto" w:line="316"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April 29, 2026, Pulmonx Corporation (the “Company”) issued a press release announcing its financial results for the first fiscal quarter ended March 31, 2026. A copy of the Company’s press release dated April 29, 2026, titled “Pulmonx Reports First Quarter 2026 Financial Results” is attached hereto as Exhibit 99.1 and is incorporated herein by reference.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foregoing information (including the exhibit hereto) is being furnished under “Item 2.02 Results of Operations and Financial Condition” and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ind w:left="0" w:right="0" w:hanging="632"/>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7467" w:type="dxa"/>
        <w:jc w:val="left"/>
        <w:tblInd w:w="0" w:type="dxa"/>
        <w:tblLayout w:type="fixed"/>
        <w:tblCellMar>
          <w:top w:w="28" w:type="dxa"/>
          <w:left w:w="28" w:type="dxa"/>
          <w:bottom w:w="28" w:type="dxa"/>
          <w:right w:w="28" w:type="dxa"/>
        </w:tblCellMar>
      </w:tblPr>
      <w:tblGrid>
        <w:gridCol w:w="174"/>
        <w:gridCol w:w="153"/>
        <w:gridCol w:w="154"/>
        <w:gridCol w:w="129"/>
        <w:gridCol w:w="129"/>
        <w:gridCol w:w="129"/>
        <w:gridCol w:w="1930"/>
        <w:gridCol w:w="1930"/>
        <w:gridCol w:w="2739"/>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2739" w:type="dxa"/>
            <w:tcBorders/>
            <w:vAlign w:val="center"/>
          </w:tcPr>
          <w:p>
            <w:pPr>
              <w:pStyle w:val="TableContents"/>
              <w:bidi w:val="0"/>
              <w:spacing w:before="0" w:after="283"/>
              <w:jc w:val="left"/>
              <w:rPr>
                <w:sz w:val="4"/>
                <w:szCs w:val="4"/>
              </w:rPr>
            </w:pPr>
            <w:r>
              <w:rPr>
                <w:sz w:val="4"/>
                <w:szCs w:val="4"/>
              </w:rPr>
            </w:r>
          </w:p>
        </w:tc>
      </w:tr>
      <w:tr>
        <w:trPr/>
        <w:tc>
          <w:tcPr>
            <w:tcW w:w="86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Exhibit No.</w:t>
            </w:r>
          </w:p>
        </w:tc>
        <w:tc>
          <w:tcPr>
            <w:tcW w:w="65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Description</w:t>
            </w:r>
          </w:p>
        </w:tc>
      </w:tr>
      <w:tr>
        <w:trPr/>
        <w:tc>
          <w:tcPr>
            <w:tcW w:w="4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lung1q26earningsrelease042.htm">
              <w:r>
                <w:rPr>
                  <w:rStyle w:val="InternetLink"/>
                  <w:rFonts w:ascii="Times New Roman;serif" w:hAnsi="Times New Roman;serif"/>
                  <w:b w:val="false"/>
                  <w:color w:val="000080"/>
                  <w:sz w:val="20"/>
                  <w:u w:val="single"/>
                </w:rPr>
                <w:t xml:space="preserve">Press release dated April </w:t>
              </w:r>
            </w:hyperlink>
            <w:hyperlink w:anchor="lung1q26earningsrelease042.htm">
              <w:r>
                <w:rPr>
                  <w:rStyle w:val="InternetLink"/>
                  <w:rFonts w:ascii="Times New Roman;serif" w:hAnsi="Times New Roman;serif"/>
                  <w:b w:val="false"/>
                  <w:color w:val="000080"/>
                  <w:sz w:val="20"/>
                  <w:u w:val="single"/>
                </w:rPr>
                <w:t>29</w:t>
              </w:r>
            </w:hyperlink>
            <w:hyperlink w:anchor="lung1q26earningsrelease042.htm">
              <w:r>
                <w:rPr>
                  <w:rStyle w:val="InternetLink"/>
                  <w:rFonts w:ascii="Times New Roman;serif" w:hAnsi="Times New Roman;serif"/>
                  <w:b w:val="false"/>
                  <w:color w:val="000080"/>
                  <w:sz w:val="20"/>
                  <w:u w:val="single"/>
                </w:rPr>
                <w:t>, 20</w:t>
              </w:r>
            </w:hyperlink>
            <w:hyperlink w:anchor="lung1q26earningsrelease042.htm">
              <w:r>
                <w:rPr>
                  <w:rStyle w:val="InternetLink"/>
                  <w:rFonts w:ascii="Times New Roman;serif" w:hAnsi="Times New Roman;serif"/>
                  <w:b w:val="false"/>
                  <w:color w:val="000080"/>
                  <w:sz w:val="20"/>
                  <w:u w:val="single"/>
                </w:rPr>
                <w:t>26</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302"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Pulmonx Corporation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April 29, 2026</w:t>
      </w:r>
    </w:p>
    <w:p>
      <w:pPr>
        <w:pStyle w:val="TextBody"/>
        <w:bidi w:val="0"/>
        <w:spacing w:before="0" w:after="0"/>
        <w:jc w:val="left"/>
        <w:rPr/>
      </w:pPr>
      <w:r>
        <w:rPr/>
      </w:r>
    </w:p>
    <w:tbl>
      <w:tblPr>
        <w:tblW w:w="4724" w:type="dxa"/>
        <w:jc w:val="right"/>
        <w:tblInd w:w="0" w:type="dxa"/>
        <w:tblLayout w:type="fixed"/>
        <w:tblCellMar>
          <w:top w:w="28" w:type="dxa"/>
          <w:left w:w="28" w:type="dxa"/>
          <w:bottom w:w="28" w:type="dxa"/>
          <w:right w:w="28" w:type="dxa"/>
        </w:tblCellMar>
      </w:tblPr>
      <w:tblGrid>
        <w:gridCol w:w="151"/>
        <w:gridCol w:w="134"/>
        <w:gridCol w:w="135"/>
        <w:gridCol w:w="1257"/>
        <w:gridCol w:w="1257"/>
        <w:gridCol w:w="1790"/>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3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Derrick Sung</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Derrick Sung, Ph.D.</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Operating Officer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right"/>
        <w:rPr>
          <w:rFonts w:ascii="Times New Roman;serif" w:hAnsi="Times New Roman;serif"/>
          <w:b/>
          <w:color w:val="000000"/>
          <w:sz w:val="22"/>
        </w:rPr>
      </w:pPr>
      <w:r>
        <w:rPr>
          <w:rFonts w:ascii="Times New Roman;serif" w:hAnsi="Times New Roman;serif"/>
          <w:b/>
          <w:color w:val="000000"/>
          <w:sz w:val="22"/>
        </w:rPr>
        <w:t>Exhibit 99.1</w:t>
      </w:r>
    </w:p>
    <w:p>
      <w:pPr>
        <w:pStyle w:val="TextBody"/>
        <w:bidi w:val="0"/>
        <w:spacing w:before="0" w:after="0"/>
        <w:ind w:left="0" w:right="0" w:firstLine="720"/>
        <w:jc w:val="center"/>
        <w:rPr/>
      </w:pPr>
      <w:r>
        <w:rPr/>
        <w:drawing>
          <wp:inline distT="0" distB="0" distL="0" distR="0">
            <wp:extent cx="1905000" cy="7429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905000" cy="742950"/>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Pulmonx Reports First Quarter 2026 Financial Results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2"/>
        </w:rPr>
        <w:t>Redwood City, CA – April 29, 2026</w:t>
      </w:r>
      <w:r>
        <w:rPr>
          <w:color w:val="000000"/>
        </w:rPr>
        <w:t xml:space="preserve"> – </w:t>
      </w:r>
      <w:r>
        <w:rPr>
          <w:rFonts w:ascii="Times New Roman;serif" w:hAnsi="Times New Roman;serif"/>
          <w:b w:val="false"/>
          <w:color w:val="000000"/>
          <w:sz w:val="22"/>
        </w:rPr>
        <w:t>Pulmonx Corporation (Nasdaq: LUNG) (“Pulmonx” or the "Company"), a global leader in minimally invasive treatments for lung disease, today reported financial results for the first quarter of 2026 ended March 31, 2026.</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2"/>
        </w:rPr>
      </w:pPr>
      <w:r>
        <w:rPr>
          <w:rFonts w:ascii="Times New Roman;serif" w:hAnsi="Times New Roman;serif"/>
          <w:b/>
          <w:color w:val="000000"/>
          <w:sz w:val="22"/>
        </w:rPr>
        <w:t>Recent Highlights</w:t>
      </w:r>
    </w:p>
    <w:p>
      <w:pPr>
        <w:pStyle w:val="TextBody"/>
        <w:bidi w:val="0"/>
        <w:spacing w:lineRule="auto" w:line="252" w:before="0" w:after="0"/>
        <w:ind w:left="0" w:right="0" w:hanging="360"/>
        <w:jc w:val="left"/>
        <w:rPr/>
      </w:pPr>
      <w:r>
        <w:rPr>
          <w:color w:val="000000"/>
        </w:rPr>
        <w:t>•</w:t>
      </w:r>
      <w:r>
        <w:rPr>
          <w:rFonts w:ascii="Times New Roman;serif" w:hAnsi="Times New Roman;serif"/>
          <w:b w:val="false"/>
          <w:color w:val="000000"/>
          <w:sz w:val="22"/>
        </w:rPr>
        <w:t xml:space="preserve">Achieved worldwide revenue of $20.6 million in the first quarter of 2026, a 9% decrease over the same period last year and a decrease of 12% on a constant currency basis </w:t>
      </w:r>
    </w:p>
    <w:p>
      <w:pPr>
        <w:pStyle w:val="TextBody"/>
        <w:bidi w:val="0"/>
        <w:spacing w:lineRule="auto" w:line="252" w:before="0" w:after="0"/>
        <w:ind w:left="0" w:right="0" w:hanging="360"/>
        <w:jc w:val="left"/>
        <w:rPr/>
      </w:pPr>
      <w:r>
        <w:rPr>
          <w:color w:val="000000"/>
        </w:rPr>
        <w:t>•</w:t>
      </w:r>
      <w:r>
        <w:rPr>
          <w:rFonts w:ascii="Times New Roman;serif" w:hAnsi="Times New Roman;serif"/>
          <w:b w:val="false"/>
          <w:color w:val="000000"/>
          <w:sz w:val="22"/>
        </w:rPr>
        <w:t>Delivered $13.3 million in U.S. revenue in the first quarter of 2025, representing a 7% year-over-year decrease</w:t>
      </w:r>
    </w:p>
    <w:p>
      <w:pPr>
        <w:pStyle w:val="TextBody"/>
        <w:bidi w:val="0"/>
        <w:spacing w:lineRule="auto" w:line="252" w:before="0" w:after="0"/>
        <w:ind w:left="0" w:right="0" w:hanging="360"/>
        <w:jc w:val="left"/>
        <w:rPr/>
      </w:pPr>
      <w:r>
        <w:rPr>
          <w:color w:val="000000"/>
        </w:rPr>
        <w:t>•</w:t>
      </w:r>
      <w:r>
        <w:rPr>
          <w:rFonts w:ascii="Times New Roman;serif" w:hAnsi="Times New Roman;serif"/>
          <w:b w:val="false"/>
          <w:color w:val="000000"/>
          <w:sz w:val="22"/>
        </w:rPr>
        <w:t>Delivered $7.3 million in international revenue in the first quarter of 2026, representing a 12% year-over-year decrease and a decrease of 21% on a constant currency basis; excluding China, year-over-year international revenue increased 22% and 9% on a constant currency basis</w:t>
      </w:r>
    </w:p>
    <w:p>
      <w:pPr>
        <w:pStyle w:val="TextBody"/>
        <w:bidi w:val="0"/>
        <w:spacing w:lineRule="auto" w:line="252" w:before="0" w:after="0"/>
        <w:ind w:left="0" w:right="0" w:hanging="360"/>
        <w:jc w:val="left"/>
        <w:rPr/>
      </w:pPr>
      <w:r>
        <w:rPr>
          <w:color w:val="000000"/>
        </w:rPr>
        <w:t>•</w:t>
      </w:r>
      <w:r>
        <w:rPr>
          <w:rFonts w:ascii="Times New Roman;serif" w:hAnsi="Times New Roman;serif"/>
          <w:b w:val="false"/>
          <w:color w:val="000000"/>
          <w:sz w:val="22"/>
        </w:rPr>
        <w:t>Realized gross margin of 78% in the first quarter of 2026</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 xml:space="preserve">As previously reported, refinanced prior debt under a new 5-year interest-only credit facility that extends maturity out to 2031 </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2"/>
        </w:rPr>
        <w:t>During the first quarter we initiated our refreshed U.S. commercial strategies and continued to execute in our direct international markets. We are encouraged by early signs of progress from the actions we have taken to refocus our U.S. sales organization and advance our clinical programs,” said Glen French, President and Chief Executive Officer of Pulmonx. “With a fully staffed global sales organization, we remain confident in our ability to drive sequential improvement in revenue growth, execute against our strategic priorities, and deliver meaningful operating leverage in 2026.”</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2"/>
        </w:rPr>
      </w:pPr>
      <w:r>
        <w:rPr>
          <w:rFonts w:ascii="Times New Roman;serif" w:hAnsi="Times New Roman;serif"/>
          <w:b/>
          <w:color w:val="000000"/>
          <w:sz w:val="22"/>
        </w:rPr>
        <w:t>First Quarter 2026 Financial Results</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Total worldwide revenue in the first quarter of 2026 was $20.6 million, a 9% decrease from $22.5 million in the first quarter of 2025 and a decrease of 12% on a constant currency basis. U.S. revenue was $13.3 million, a 7% decrease from the first quarter of 2025. International revenue was $7.3 million, a 12% decrease compared to the first quarter of 2025, and a 21% decrease on a constant currency basis. The decrease in international revenue was attributable to a lack of sales into China as we await the renewal of our registration certificate. Excluding China, international revenue grew 22% and 9% on a constant currency basis.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Gross profit in the first quarter of 2026 was $16.0 million, compared to $16.3 million for the first quarter of 2025. Gross margin for the first quarter of 2026 was 78%, compared to 73% for the same period in 2025.</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Operating expenses in the first quarter of 2026 were $29.0 million, compared to $30.9 million for the first quarter of 2025, representing a decrease of 6%.</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Net loss in the first quarter of 2026 was $13.7 million, or $0.33 per share, compared to a net loss of $14.4 million, or $0.36 per share, for the same period in 2025.</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Adjusted EBITDA loss in the first quarter of 2026 was $8.5 million.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Cash and cash equivalents totaled $61.6 million as of March 31, 2026.</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2"/>
        </w:rPr>
      </w:pPr>
      <w:r>
        <w:rPr>
          <w:rFonts w:ascii="Times New Roman;serif" w:hAnsi="Times New Roman;serif"/>
          <w:b/>
          <w:color w:val="000000"/>
          <w:sz w:val="22"/>
        </w:rPr>
        <w:t>2026 Financial Outlook</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Pulmonx continues to expect revenue for the full year 2026 to be in the range of $90 million to $92 million.</w:t>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68" w:before="0" w:after="0"/>
        <w:jc w:val="left"/>
        <w:rPr/>
      </w:pPr>
      <w:r>
        <w:rPr>
          <w:rFonts w:ascii="Times New Roman;serif" w:hAnsi="Times New Roman;serif"/>
          <w:b w:val="false"/>
          <w:color w:val="000000"/>
          <w:sz w:val="22"/>
        </w:rPr>
        <w:t>The Company continues to expect gross margin for the full year 2026 to be approximately 75%.</w:t>
      </w:r>
      <w:r>
        <w:rPr>
          <w:color w:val="4D4D4D"/>
        </w:rPr>
        <w:t xml:space="preserv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Pulmonx continues to expect total operating expenses for the full year 2026 to fall within the range of $113 million to $115 million, inclusive of approximately $19 million of non-cash stock-based compensation.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The Company continues to expect cash, cash equivalents, and marketable securities to decrease by approximately $23 million for the full year 2026 assuming no additional drawdowns under the Company’s credit facility.</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2"/>
        </w:rPr>
      </w:pPr>
      <w:r>
        <w:rPr>
          <w:rFonts w:ascii="Times New Roman;serif" w:hAnsi="Times New Roman;serif"/>
          <w:b/>
          <w:color w:val="000000"/>
          <w:sz w:val="22"/>
        </w:rPr>
        <w:t>Webcast and Conference Call Details</w:t>
      </w:r>
    </w:p>
    <w:p>
      <w:pPr>
        <w:pStyle w:val="TextBody"/>
        <w:bidi w:val="0"/>
        <w:spacing w:lineRule="auto" w:line="268" w:before="0" w:after="0"/>
        <w:jc w:val="left"/>
        <w:rPr/>
      </w:pPr>
      <w:r>
        <w:rPr>
          <w:rFonts w:ascii="Times New Roman;serif" w:hAnsi="Times New Roman;serif"/>
          <w:b w:val="false"/>
          <w:color w:val="000000"/>
          <w:sz w:val="22"/>
        </w:rPr>
        <w:t xml:space="preserve">Pulmonx will host a conference call today, April 29, 2026, at 1:30 p.m. PT / 4:30 p.m. ET to discuss its first quarter financial results. A live webcast of the conference call will be available on the Investor Relations section of the Company's website at </w:t>
      </w:r>
      <w:r>
        <w:rPr>
          <w:rFonts w:ascii="Times New Roman;serif" w:hAnsi="Times New Roman;serif"/>
          <w:b w:val="false"/>
          <w:color w:val="0000FF"/>
          <w:sz w:val="22"/>
          <w:u w:val="single"/>
        </w:rPr>
        <w:t>https://investors.pulmonx.com/</w:t>
      </w:r>
      <w:r>
        <w:rPr>
          <w:rFonts w:ascii="Times New Roman;serif" w:hAnsi="Times New Roman;serif"/>
          <w:b w:val="false"/>
          <w:color w:val="000000"/>
          <w:sz w:val="22"/>
        </w:rPr>
        <w:t xml:space="preserve">. The webcast will be archived on the website following the completion of the call.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Use of Non-GAAP Financial Measures</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To supplement Pulmonx’s condensed consolidated financial statements prepared in accordance with accounting principles generally accepted in the United States of America, or GAAP, Pulmonx provides certain non-GAAP financial measures in this release as supplemental financial metrics. Non-GAAP financial measures reflect an additional way of viewing aspects of the Company's operations that, when viewed with GAAP results, may provide a more complete understanding of factors and trends affecting Pulmonx’s business.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Constant currency calculations show reported current period revenues as if the foreign exchange rates remain the same as those in effect in the comparable prior year period. Pulmonx uses results on a constant currency basis as one measure to evaluate its performance. Pulmonx calculates constant currency by calculating current-year results using foreign currency exchange rates from the applicable comparable period in the prior year. Pulmonx generally refers to such amounts calculated on a constant currency basis as excluding the impact of foreign exchange or being on a constant currency basis. Pulmonx believes the presentation of results on a constant currency basis in addition to reported results helps improve investors’ ability to understand its operating results and evaluate its performance in comparison to prior periods. Pulmonx generally uses constant currency to facilitate management's financial and operational decision-making, including evaluation of Pulmonx’s historical operating results.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The Company defines Adjusted EBITDA as earnings before interest income or expense, taxes, depreciation and amortization and stock-based compensation and may also exclude certain non-recurring, irregular or one-time items not reflective of our ongoing core business operations, such as impairment charges. Management believes in order to properly understand short-term and long-term financial trends, investors may wish to consider the impact of these excluded items in addition to GAAP measures. Further, management uses adjusted EBITDA for strategic and annual operating planning. We believe these non-GAAP financial measures are useful as a supplement in evaluating our ongoing operational performance and enhancing an overall understanding of our past financial performance.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Reconciliation of these non-GAAP financial measures to the most comparable GAAP measures is set forth in the tables below.</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The non-GAAP financial measures used by Pulmonx should be considered supplemental to, and not a substitute for, financial information prepared in accordance with GAAP. Because non-GAAP financial measures exclude the effect of items that increase or decrease the company's reported results of operations, management strongly encourages investors to review, when they become available, the Company's consolidated financial statements and publicly filed reports in their entirety. The Company's definition of non-GAAP measures may differ from similarly titled measures used by others.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 xml:space="preserve">Forward-Looking Statements </w:t>
      </w:r>
    </w:p>
    <w:p>
      <w:pPr>
        <w:pStyle w:val="TextBody"/>
        <w:bidi w:val="0"/>
        <w:spacing w:lineRule="auto" w:line="268"/>
        <w:jc w:val="left"/>
        <w:rPr>
          <w:rFonts w:ascii="Times New Roman;serif" w:hAnsi="Times New Roman;serif"/>
          <w:b w:val="false"/>
          <w:color w:val="000000"/>
          <w:sz w:val="22"/>
        </w:rPr>
      </w:pPr>
      <w:r>
        <w:rPr>
          <w:rFonts w:ascii="Times New Roman;serif" w:hAnsi="Times New Roman;serif"/>
          <w:b w:val="false"/>
          <w:color w:val="000000"/>
          <w:sz w:val="22"/>
        </w:rPr>
        <w:t xml:space="preserve">This press release contains forward-looking statements within the meaning of Section 27A of the Securities Act of 1933, as amended, and Section 21E of the Securities Exchange Act of 1934, as amended. Forward-looking statements are based on management’s current assumptions and expectations of future events and trends, which affect or may affect our strategy, operations or financial performance, and actual results may differ materially from those expressed or implied in such statements due to numerous risks and uncertainties. These forward-looking statements include, but are not limited to, statements regarding our commercial strategy to grow the adoption of our Zephyr Valve treatment and expand our global treatable market, our expectations regarding our ability to drive sequential improvements in U.S. revenue growth, executive against our strategic priorities, deliver meaningful operating leverage, our possible or assumed future results of operations, including long-term outlook, descriptions of our revenues, total operating expenses, gross margin, balances of </w:t>
      </w:r>
    </w:p>
    <w:p>
      <w:pPr>
        <w:pStyle w:val="TextBody"/>
        <w:bidi w:val="0"/>
        <w:spacing w:before="0" w:after="0"/>
        <w:jc w:val="center"/>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cash, cash equivalents, and marketable securities, profitability, guidance for full year 2026, commercial momentum, and overall business strategy. Forward-looking statements are inherently subject to risks and uncertainties, some of which cannot be predicted or quantified. Factors that could cause actual results to differ materially from those contemplated in this press release can be found in the Risk Factors section of Pulmonx’s public filings with the Securities and Exchange Commission (“SEC”), including the Annual Report on Form 10-K filed with the SEC on March 10, 2026, available at www.sec.gov. Because forward-looking statements are inherently subject to risks and uncertainties, you should not rely on these forward-looking statements as predictions of future events. All statements other than statements of historical fact are forward-looking statements. Except to the extent required by law, we undertake no obligation to update or review any estimate, projection, or forward-looking statement. Actual results may differ from those set forth in this press release due to the risks and uncertainties inherent in our business.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About Pulmonx Corporation</w:t>
      </w:r>
    </w:p>
    <w:p>
      <w:pPr>
        <w:pStyle w:val="TextBody"/>
        <w:bidi w:val="0"/>
        <w:spacing w:lineRule="auto" w:line="268" w:before="0" w:after="0"/>
        <w:jc w:val="left"/>
        <w:rPr/>
      </w:pPr>
      <w:r>
        <w:rPr>
          <w:rFonts w:ascii="Times New Roman;serif" w:hAnsi="Times New Roman;serif"/>
          <w:b w:val="false"/>
          <w:color w:val="000000"/>
          <w:sz w:val="22"/>
        </w:rPr>
        <w:t>Pulmonx Corporation (Nasdaq: LUNG) is a global leader in minimally invasive treatments for chronic obstructive pulmonary disease (COPD). Pulmonx’s Zephyr® Endobronchial Valve, Chartis® Pulmonary Assessment System, LungTraX</w:t>
      </w:r>
      <w:r>
        <w:rPr>
          <w:rFonts w:ascii="Times New Roman;serif" w:hAnsi="Times New Roman;serif"/>
          <w:b w:val="false"/>
          <w:color w:val="000000"/>
          <w:sz w:val="14"/>
        </w:rPr>
        <w:t>TM</w:t>
      </w:r>
      <w:r>
        <w:rPr>
          <w:color w:val="000000"/>
        </w:rPr>
        <w:t> </w:t>
      </w:r>
      <w:r>
        <w:rPr>
          <w:rFonts w:ascii="Times New Roman;serif" w:hAnsi="Times New Roman;serif"/>
          <w:b w:val="false"/>
          <w:color w:val="000000"/>
          <w:sz w:val="22"/>
        </w:rPr>
        <w:t>Platform, and StratX® Lung Analysis Reports are designed to assess and treat patients with severe emphysema/COPD who despite medical management are still profoundly symptomatic. Pulmonx received FDA pre-market approval to commercialize the Zephyr Valve following its designation as a “breakthrough device.” The Zephyr Valve is commercially available in more than 25 countries, is included in global treatment guidelines and is widely considered a standard of care treatment option for improving breathing, activity and quality of life in patients with severe emphysema. For more information on the Zephyr Valves and the company, please visit </w:t>
      </w:r>
      <w:r>
        <w:rPr>
          <w:rFonts w:ascii="Times New Roman;serif" w:hAnsi="Times New Roman;serif"/>
          <w:b w:val="false"/>
          <w:color w:val="0000FF"/>
          <w:sz w:val="22"/>
          <w:u w:val="single"/>
        </w:rPr>
        <w:t>www.Pulmonx.com</w:t>
      </w:r>
      <w:r>
        <w:rPr>
          <w:rFonts w:ascii="Times New Roman;serif" w:hAnsi="Times New Roman;serif"/>
          <w:b w:val="false"/>
          <w:color w:val="000000"/>
          <w:sz w:val="22"/>
        </w:rPr>
        <w:t xml:space="preserve">.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Pulmonx®, AeriSeal®, Chartis®, StratX®, and Zephyr® are registered trademarks and LungTraX</w:t>
      </w:r>
      <w:r>
        <w:rPr>
          <w:rFonts w:ascii="Times New Roman;serif" w:hAnsi="Times New Roman;serif"/>
          <w:b w:val="false"/>
          <w:color w:val="000000"/>
          <w:sz w:val="14"/>
        </w:rPr>
        <w:t>TM</w:t>
      </w:r>
      <w:r>
        <w:rPr>
          <w:color w:val="000000"/>
        </w:rPr>
        <w:t> </w:t>
      </w:r>
      <w:r>
        <w:rPr>
          <w:rFonts w:ascii="Times New Roman;serif" w:hAnsi="Times New Roman;serif"/>
          <w:b w:val="false"/>
          <w:color w:val="000000"/>
          <w:sz w:val="22"/>
        </w:rPr>
        <w:t xml:space="preserve">is a trademark of Pulmonx Corporation.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Investor Contact</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Brian Johnston </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Gilmartin Group</w:t>
      </w:r>
    </w:p>
    <w:p>
      <w:pPr>
        <w:pStyle w:val="TextBody"/>
        <w:bidi w:val="0"/>
        <w:spacing w:lineRule="auto" w:line="268" w:before="0" w:after="0"/>
        <w:jc w:val="left"/>
        <w:rPr>
          <w:rFonts w:ascii="Times New Roman;serif" w:hAnsi="Times New Roman;serif"/>
          <w:b w:val="false"/>
          <w:color w:val="0000FF"/>
          <w:sz w:val="22"/>
          <w:u w:val="single"/>
        </w:rPr>
      </w:pPr>
      <w:r>
        <w:rPr>
          <w:rFonts w:ascii="Times New Roman;serif" w:hAnsi="Times New Roman;serif"/>
          <w:b w:val="false"/>
          <w:color w:val="0000FF"/>
          <w:sz w:val="22"/>
          <w:u w:val="single"/>
        </w:rPr>
        <w:t>investors@pulmonx.com</w:t>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Pulmonx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719"/>
        <w:gridCol w:w="2204"/>
        <w:gridCol w:w="2202"/>
        <w:gridCol w:w="109"/>
        <w:gridCol w:w="109"/>
        <w:gridCol w:w="109"/>
        <w:gridCol w:w="240"/>
        <w:gridCol w:w="841"/>
        <w:gridCol w:w="109"/>
        <w:gridCol w:w="109"/>
        <w:gridCol w:w="109"/>
        <w:gridCol w:w="109"/>
        <w:gridCol w:w="240"/>
        <w:gridCol w:w="841"/>
        <w:gridCol w:w="155"/>
      </w:tblGrid>
      <w:tr>
        <w:trPr/>
        <w:tc>
          <w:tcPr>
            <w:tcW w:w="2719"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2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9"/>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20,586 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22,538 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6,196 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16,044 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16,342 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4,756 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r>
              <w:rPr>
                <w:rFonts w:ascii="Times New Roman;serif" w:hAnsi="Times New Roman;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26,149 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29,000 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30,905 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(12,956)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(14,563)</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(781)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loss before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(13,505)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(14,313)</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(13,654)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(14,448)</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common stockholders,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(0.33)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(0.36)</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computing net loss per share attributable to common stockholders,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41,897,669 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39,954,658 </w:t>
            </w:r>
          </w:p>
        </w:tc>
        <w:tc>
          <w:tcPr>
            <w:tcW w:w="1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160"/>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Pulmonx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6834" w:type="dxa"/>
        <w:jc w:val="center"/>
        <w:tblInd w:w="0" w:type="dxa"/>
        <w:tblLayout w:type="fixed"/>
        <w:tblCellMar>
          <w:top w:w="28" w:type="dxa"/>
          <w:left w:w="28" w:type="dxa"/>
          <w:bottom w:w="28" w:type="dxa"/>
          <w:right w:w="28" w:type="dxa"/>
        </w:tblCellMar>
      </w:tblPr>
      <w:tblGrid>
        <w:gridCol w:w="1333"/>
        <w:gridCol w:w="1178"/>
        <w:gridCol w:w="1193"/>
        <w:gridCol w:w="232"/>
        <w:gridCol w:w="908"/>
        <w:gridCol w:w="119"/>
        <w:gridCol w:w="109"/>
        <w:gridCol w:w="109"/>
        <w:gridCol w:w="109"/>
        <w:gridCol w:w="273"/>
        <w:gridCol w:w="1072"/>
        <w:gridCol w:w="199"/>
      </w:tblGrid>
      <w:tr>
        <w:trPr/>
        <w:tc>
          <w:tcPr>
            <w:tcW w:w="1333"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Assets</w:t>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r>
              <w:rPr>
                <w:rFonts w:ascii="Times New Roman;serif" w:hAnsi="Times New Roman;serif"/>
                <w:b w:val="false"/>
                <w:color w:val="000000"/>
                <w:sz w:val="20"/>
              </w:rPr>
              <w:t>Cash and cash equivalents</w:t>
            </w:r>
          </w:p>
        </w:tc>
        <w:tc>
          <w:tcPr>
            <w:tcW w:w="23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61,572 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69,751 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r>
              <w:rPr>
                <w:rFonts w:ascii="Times New Roman;serif" w:hAnsi="Times New Roman;serif"/>
                <w:b w:val="false"/>
                <w:color w:val="000000"/>
                <w:sz w:val="20"/>
              </w:rPr>
              <w:t>Restricted cash</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r>
              <w:rPr>
                <w:rFonts w:ascii="Times New Roman;serif" w:hAnsi="Times New Roman;serif"/>
                <w:b w:val="false"/>
                <w:color w:val="000000"/>
                <w:sz w:val="20"/>
              </w:rPr>
              <w:t>Accounts receivable, net</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10,830 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12,072 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r>
              <w:rPr>
                <w:rFonts w:ascii="Times New Roman;serif" w:hAnsi="Times New Roman;serif"/>
                <w:b w:val="false"/>
                <w:color w:val="000000"/>
                <w:sz w:val="20"/>
              </w:rPr>
              <w:t>Inventory</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16,310 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15,845 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r>
              <w:rPr>
                <w:rFonts w:ascii="Times New Roman;serif" w:hAnsi="Times New Roman;serif"/>
                <w:b w:val="false"/>
                <w:color w:val="000000"/>
                <w:sz w:val="20"/>
              </w:rPr>
              <w:t>Prepaid expenses and other current assets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3,777 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3,758 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92,746 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101,684 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Long-term inventory</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3,819 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3,604 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2,060 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2,220 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2,333 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2,333 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Right of use assets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17,654 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18,028 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1,354 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1,422 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119,966 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129,291 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r>
              <w:rPr>
                <w:rFonts w:ascii="Times New Roman;serif" w:hAnsi="Times New Roman;serif"/>
                <w:b w:val="false"/>
                <w:color w:val="000000"/>
                <w:sz w:val="20"/>
              </w:rPr>
              <w:t>Accounts payable</w:t>
            </w:r>
          </w:p>
        </w:tc>
        <w:tc>
          <w:tcPr>
            <w:tcW w:w="23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3,474 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3,905 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r>
              <w:rPr>
                <w:rFonts w:ascii="Times New Roman;serif" w:hAnsi="Times New Roman;serif"/>
                <w:b w:val="false"/>
                <w:color w:val="000000"/>
                <w:sz w:val="20"/>
              </w:rPr>
              <w:t>Accrued liabilities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13,728 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14,556 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r>
              <w:rPr>
                <w:rFonts w:ascii="Times New Roman;serif" w:hAnsi="Times New Roman;serif"/>
                <w:b w:val="false"/>
                <w:color w:val="000000"/>
                <w:sz w:val="20"/>
              </w:rPr>
              <w:t>Income taxes payable</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r>
              <w:rPr>
                <w:rFonts w:ascii="Times New Roman;serif" w:hAnsi="Times New Roman;serif"/>
                <w:b w:val="false"/>
                <w:color w:val="000000"/>
                <w:sz w:val="20"/>
              </w:rPr>
              <w:t>Deferred revenue</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r>
              <w:rPr>
                <w:rFonts w:ascii="Times New Roman;serif" w:hAnsi="Times New Roman;serif"/>
                <w:b w:val="false"/>
                <w:color w:val="000000"/>
                <w:sz w:val="20"/>
              </w:rPr>
              <w:t>Short-term debt</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r>
              <w:rPr>
                <w:rFonts w:ascii="Times New Roman;serif" w:hAnsi="Times New Roman;serif"/>
                <w:b w:val="false"/>
                <w:color w:val="000000"/>
                <w:sz w:val="20"/>
              </w:rPr>
              <w:t>Current lease liabilities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1,239 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1,210 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18,906 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20,058 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Long-term lease liabilities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17,741 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18,059 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37,209 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36,989 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Common stock warrant liability</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74,205 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75,175 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r>
              <w:rPr>
                <w:rFonts w:ascii="Times New Roman;serif" w:hAnsi="Times New Roman;serif"/>
                <w:b w:val="false"/>
                <w:color w:val="000000"/>
                <w:sz w:val="20"/>
              </w:rPr>
              <w:t>Additional paid-in capital</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578,762 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573,272 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r>
              <w:rPr>
                <w:rFonts w:ascii="Times New Roman;serif" w:hAnsi="Times New Roman;serif"/>
                <w:b w:val="false"/>
                <w:color w:val="000000"/>
                <w:sz w:val="20"/>
              </w:rPr>
              <w:t>Accumulated other comprehensive income</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2,169 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2,360 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r>
              <w:rPr>
                <w:rFonts w:ascii="Times New Roman;serif" w:hAnsi="Times New Roman;serif"/>
                <w:b w:val="false"/>
                <w:color w:val="000000"/>
                <w:sz w:val="20"/>
              </w:rPr>
              <w:t>Accumulated deficit</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(535,212)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(521,558)</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45,761 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54,116 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119,966 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129,291 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Pulmonx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Reported Revenue % Change to Constant Currency Revenue % Change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percentages)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2"/>
        <w:jc w:val="center"/>
        <w:rPr/>
      </w:pPr>
      <w:r>
        <w:rPr/>
      </w:r>
    </w:p>
    <w:tbl>
      <w:tblPr>
        <w:tblW w:w="9106" w:type="dxa"/>
        <w:jc w:val="center"/>
        <w:tblInd w:w="0" w:type="dxa"/>
        <w:tblLayout w:type="fixed"/>
        <w:tblCellMar>
          <w:top w:w="28" w:type="dxa"/>
          <w:left w:w="28" w:type="dxa"/>
          <w:bottom w:w="28" w:type="dxa"/>
          <w:right w:w="28" w:type="dxa"/>
        </w:tblCellMar>
      </w:tblPr>
      <w:tblGrid>
        <w:gridCol w:w="435"/>
        <w:gridCol w:w="381"/>
        <w:gridCol w:w="383"/>
        <w:gridCol w:w="211"/>
        <w:gridCol w:w="721"/>
        <w:gridCol w:w="109"/>
        <w:gridCol w:w="109"/>
        <w:gridCol w:w="109"/>
        <w:gridCol w:w="109"/>
        <w:gridCol w:w="211"/>
        <w:gridCol w:w="721"/>
        <w:gridCol w:w="109"/>
        <w:gridCol w:w="109"/>
        <w:gridCol w:w="109"/>
        <w:gridCol w:w="109"/>
        <w:gridCol w:w="291"/>
        <w:gridCol w:w="294"/>
        <w:gridCol w:w="483"/>
        <w:gridCol w:w="109"/>
        <w:gridCol w:w="109"/>
        <w:gridCol w:w="109"/>
        <w:gridCol w:w="243"/>
        <w:gridCol w:w="243"/>
        <w:gridCol w:w="608"/>
        <w:gridCol w:w="109"/>
        <w:gridCol w:w="109"/>
        <w:gridCol w:w="109"/>
        <w:gridCol w:w="478"/>
        <w:gridCol w:w="478"/>
        <w:gridCol w:w="1399"/>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FX Impact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Constant Currency % Change</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48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60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(21.4)</w:t>
            </w:r>
          </w:p>
        </w:tc>
        <w:tc>
          <w:tcPr>
            <w:tcW w:w="139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20,586 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22,538 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48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60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39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2"/>
        <w:jc w:val="center"/>
        <w:rPr/>
      </w:pPr>
      <w:r>
        <w:rPr/>
      </w:r>
    </w:p>
    <w:p>
      <w:pPr>
        <w:pStyle w:val="TextBody"/>
        <w:bidi w:val="0"/>
        <w:spacing w:before="0" w:after="2"/>
        <w:jc w:val="center"/>
        <w:rPr/>
      </w:pPr>
      <w:r>
        <w:rPr/>
      </w:r>
    </w:p>
    <w:tbl>
      <w:tblPr>
        <w:tblW w:w="10205" w:type="dxa"/>
        <w:jc w:val="center"/>
        <w:tblInd w:w="0" w:type="dxa"/>
        <w:tblLayout w:type="fixed"/>
        <w:tblCellMar>
          <w:top w:w="28" w:type="dxa"/>
          <w:left w:w="28" w:type="dxa"/>
          <w:bottom w:w="28" w:type="dxa"/>
          <w:right w:w="28" w:type="dxa"/>
        </w:tblCellMar>
      </w:tblPr>
      <w:tblGrid>
        <w:gridCol w:w="862"/>
        <w:gridCol w:w="759"/>
        <w:gridCol w:w="761"/>
        <w:gridCol w:w="227"/>
        <w:gridCol w:w="664"/>
        <w:gridCol w:w="117"/>
        <w:gridCol w:w="117"/>
        <w:gridCol w:w="117"/>
        <w:gridCol w:w="117"/>
        <w:gridCol w:w="227"/>
        <w:gridCol w:w="664"/>
        <w:gridCol w:w="117"/>
        <w:gridCol w:w="109"/>
        <w:gridCol w:w="109"/>
        <w:gridCol w:w="109"/>
        <w:gridCol w:w="339"/>
        <w:gridCol w:w="341"/>
        <w:gridCol w:w="483"/>
        <w:gridCol w:w="109"/>
        <w:gridCol w:w="109"/>
        <w:gridCol w:w="109"/>
        <w:gridCol w:w="305"/>
        <w:gridCol w:w="237"/>
        <w:gridCol w:w="570"/>
        <w:gridCol w:w="109"/>
        <w:gridCol w:w="109"/>
        <w:gridCol w:w="109"/>
        <w:gridCol w:w="473"/>
        <w:gridCol w:w="437"/>
        <w:gridCol w:w="1290"/>
      </w:tblGrid>
      <w:tr>
        <w:trPr/>
        <w:tc>
          <w:tcPr>
            <w:tcW w:w="86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r>
      <w:tr>
        <w:trPr/>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FX Impact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Constant Currency % Change</w:t>
            </w:r>
          </w:p>
        </w:tc>
      </w:tr>
      <w:tr>
        <w:trPr/>
        <w:tc>
          <w:tcPr>
            <w:tcW w:w="238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7,331 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8,317 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(21.4)</w:t>
            </w:r>
          </w:p>
        </w:tc>
        <w:tc>
          <w:tcPr>
            <w:tcW w:w="1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8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less China</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(2,295)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48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57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129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8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International excluding China</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7,331 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6,022 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48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57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29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Pulmonx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Net Loss to Non-GAAP Adjusted EBITDA</w: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2"/>
        <w:jc w:val="center"/>
        <w:rPr/>
      </w:pPr>
      <w:r>
        <w:rPr/>
      </w:r>
    </w:p>
    <w:tbl>
      <w:tblPr>
        <w:tblW w:w="5318" w:type="dxa"/>
        <w:jc w:val="center"/>
        <w:tblInd w:w="0" w:type="dxa"/>
        <w:tblLayout w:type="fixed"/>
        <w:tblCellMar>
          <w:top w:w="28" w:type="dxa"/>
          <w:left w:w="28" w:type="dxa"/>
          <w:bottom w:w="28" w:type="dxa"/>
          <w:right w:w="28" w:type="dxa"/>
        </w:tblCellMar>
      </w:tblPr>
      <w:tblGrid>
        <w:gridCol w:w="982"/>
        <w:gridCol w:w="864"/>
        <w:gridCol w:w="868"/>
        <w:gridCol w:w="211"/>
        <w:gridCol w:w="796"/>
        <w:gridCol w:w="109"/>
        <w:gridCol w:w="109"/>
        <w:gridCol w:w="109"/>
        <w:gridCol w:w="109"/>
        <w:gridCol w:w="211"/>
        <w:gridCol w:w="796"/>
        <w:gridCol w:w="154"/>
      </w:tblGrid>
      <w:tr>
        <w:trPr/>
        <w:tc>
          <w:tcPr>
            <w:tcW w:w="98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GAAP 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(13,654)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(14,448)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r>
              <w:rPr>
                <w:rFonts w:ascii="Times New Roman;serif" w:hAnsi="Times New Roman;serif"/>
                <w:b w:val="false"/>
                <w:color w:val="000000"/>
                <w:sz w:val="20"/>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r>
              <w:rPr>
                <w:rFonts w:ascii="Times New Roman;serif" w:hAnsi="Times New Roman;serif"/>
                <w:b w:val="false"/>
                <w:color w:val="000000"/>
                <w:sz w:val="20"/>
              </w:rPr>
              <w:t>Stock-based compensation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5,612 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r>
              <w:rPr>
                <w:rFonts w:ascii="Times New Roman;serif" w:hAnsi="Times New Roman;serif"/>
                <w:b w:val="false"/>
                <w:color w:val="000000"/>
                <w:sz w:val="20"/>
              </w:rPr>
              <w:t>Interest (income)/expense,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r>
              <w:rPr>
                <w:rFonts w:ascii="Times New Roman;serif" w:hAnsi="Times New Roman;serif"/>
                <w:b w:val="false"/>
                <w:color w:val="000000"/>
                <w:sz w:val="20"/>
              </w:rPr>
              <w:t>Provision for income taxes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(8,523)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(8,506)</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2537</Words>
  <Characters>14449</Characters>
  <CharactersWithSpaces>16785</CharactersWithSpaces>
  <Paragraphs>377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